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7AB" w:rsidRDefault="004717AB" w:rsidP="004717AB">
      <w:pPr>
        <w:spacing w:after="0"/>
        <w:rPr>
          <w:rFonts w:ascii="Times New Roman" w:hAnsi="Times New Roman" w:cs="Times New Roman"/>
          <w:sz w:val="24"/>
          <w:szCs w:val="24"/>
          <w:lang w:val="kk-KZ"/>
        </w:rPr>
      </w:pPr>
      <w:r w:rsidRPr="00124AE6">
        <w:rPr>
          <w:rFonts w:ascii="Times New Roman" w:hAnsi="Times New Roman" w:cs="Times New Roman"/>
          <w:sz w:val="24"/>
          <w:szCs w:val="24"/>
          <w:lang w:val="kk-KZ"/>
        </w:rPr>
        <w:t>710430400766</w:t>
      </w:r>
    </w:p>
    <w:p w:rsidR="004717AB" w:rsidRDefault="004717AB" w:rsidP="004717AB">
      <w:pPr>
        <w:spacing w:after="0"/>
        <w:rPr>
          <w:rFonts w:ascii="Times New Roman" w:hAnsi="Times New Roman" w:cs="Times New Roman"/>
          <w:sz w:val="24"/>
          <w:szCs w:val="24"/>
          <w:lang w:val="kk-KZ"/>
        </w:rPr>
      </w:pPr>
      <w:r w:rsidRPr="007C11C5">
        <w:rPr>
          <w:rFonts w:ascii="Times New Roman" w:hAnsi="Times New Roman" w:cs="Times New Roman"/>
          <w:sz w:val="24"/>
          <w:szCs w:val="24"/>
          <w:lang w:val="kk-KZ"/>
        </w:rPr>
        <w:t>РАХЫМБАЕВА</w:t>
      </w:r>
      <w:r w:rsidRPr="00B6587E">
        <w:rPr>
          <w:rFonts w:ascii="Times New Roman" w:hAnsi="Times New Roman" w:cs="Times New Roman"/>
          <w:sz w:val="24"/>
          <w:szCs w:val="24"/>
          <w:lang w:val="kk-KZ"/>
        </w:rPr>
        <w:t xml:space="preserve"> </w:t>
      </w:r>
      <w:r w:rsidRPr="007C11C5">
        <w:rPr>
          <w:rFonts w:ascii="Times New Roman" w:hAnsi="Times New Roman" w:cs="Times New Roman"/>
          <w:sz w:val="24"/>
          <w:szCs w:val="24"/>
          <w:lang w:val="kk-KZ"/>
        </w:rPr>
        <w:t>Майра</w:t>
      </w:r>
      <w:r w:rsidR="00FF3BCC">
        <w:rPr>
          <w:rFonts w:ascii="Times New Roman" w:hAnsi="Times New Roman" w:cs="Times New Roman"/>
          <w:sz w:val="24"/>
          <w:szCs w:val="24"/>
          <w:lang w:val="kk-KZ"/>
        </w:rPr>
        <w:t xml:space="preserve"> </w:t>
      </w:r>
      <w:r w:rsidR="00FF3BCC" w:rsidRPr="00FF3BCC">
        <w:rPr>
          <w:rFonts w:ascii="Times New Roman" w:hAnsi="Times New Roman" w:cs="Times New Roman"/>
          <w:sz w:val="24"/>
          <w:szCs w:val="24"/>
          <w:lang w:val="kk-KZ"/>
        </w:rPr>
        <w:t>Рахымбайкызы</w:t>
      </w:r>
      <w:bookmarkStart w:id="0" w:name="_GoBack"/>
      <w:bookmarkEnd w:id="0"/>
      <w:r w:rsidRPr="007C11C5">
        <w:rPr>
          <w:rFonts w:ascii="Times New Roman" w:hAnsi="Times New Roman" w:cs="Times New Roman"/>
          <w:sz w:val="24"/>
          <w:szCs w:val="24"/>
          <w:lang w:val="kk-KZ"/>
        </w:rPr>
        <w:t>,</w:t>
      </w:r>
    </w:p>
    <w:p w:rsidR="004717AB" w:rsidRDefault="004717AB" w:rsidP="004717AB">
      <w:pPr>
        <w:spacing w:after="0"/>
        <w:rPr>
          <w:rFonts w:ascii="Times New Roman" w:hAnsi="Times New Roman" w:cs="Times New Roman"/>
          <w:sz w:val="24"/>
          <w:szCs w:val="24"/>
          <w:lang w:val="kk-KZ"/>
        </w:rPr>
      </w:pPr>
      <w:r>
        <w:rPr>
          <w:rFonts w:ascii="Times New Roman" w:hAnsi="Times New Roman" w:cs="Times New Roman"/>
          <w:color w:val="000000"/>
          <w:sz w:val="21"/>
          <w:szCs w:val="21"/>
          <w:lang w:val="kk-KZ"/>
        </w:rPr>
        <w:t>Қ</w:t>
      </w:r>
      <w:r w:rsidRPr="00124AE6">
        <w:rPr>
          <w:rFonts w:ascii="Times New Roman" w:hAnsi="Times New Roman" w:cs="Times New Roman"/>
          <w:color w:val="000000"/>
          <w:sz w:val="21"/>
          <w:szCs w:val="21"/>
          <w:lang w:val="kk-KZ"/>
        </w:rPr>
        <w:t>. Мұхаммедханов</w:t>
      </w:r>
      <w:r>
        <w:rPr>
          <w:rFonts w:ascii="Times New Roman" w:hAnsi="Times New Roman" w:cs="Times New Roman"/>
          <w:color w:val="000000"/>
          <w:sz w:val="21"/>
          <w:szCs w:val="21"/>
          <w:lang w:val="kk-KZ"/>
        </w:rPr>
        <w:t xml:space="preserve"> атындағы №90 мектеп –гимназияның</w:t>
      </w:r>
      <w:r w:rsidRPr="00124AE6">
        <w:rPr>
          <w:rFonts w:ascii="Times New Roman" w:hAnsi="Times New Roman" w:cs="Times New Roman"/>
          <w:color w:val="000000"/>
          <w:sz w:val="21"/>
          <w:szCs w:val="21"/>
          <w:lang w:val="kk-KZ"/>
        </w:rPr>
        <w:t xml:space="preserve"> орыс тілі </w:t>
      </w:r>
      <w:r>
        <w:rPr>
          <w:rFonts w:ascii="Times New Roman" w:hAnsi="Times New Roman" w:cs="Times New Roman"/>
          <w:color w:val="000000"/>
          <w:sz w:val="21"/>
          <w:szCs w:val="21"/>
          <w:lang w:val="kk-KZ"/>
        </w:rPr>
        <w:t xml:space="preserve">мен әдебиеті пәні мұғалімі. </w:t>
      </w:r>
    </w:p>
    <w:p w:rsidR="004717AB" w:rsidRPr="00124AE6" w:rsidRDefault="004717AB" w:rsidP="004717AB">
      <w:pPr>
        <w:spacing w:after="0"/>
        <w:rPr>
          <w:rFonts w:ascii="Times New Roman" w:hAnsi="Times New Roman" w:cs="Times New Roman"/>
          <w:b/>
          <w:sz w:val="24"/>
          <w:szCs w:val="24"/>
          <w:lang w:val="kk-KZ"/>
        </w:rPr>
      </w:pPr>
      <w:r w:rsidRPr="00124AE6">
        <w:rPr>
          <w:rFonts w:ascii="Times New Roman" w:hAnsi="Times New Roman" w:cs="Times New Roman"/>
          <w:sz w:val="24"/>
          <w:szCs w:val="24"/>
          <w:lang w:val="kk-KZ"/>
        </w:rPr>
        <w:t>Астана</w:t>
      </w:r>
      <w:r>
        <w:rPr>
          <w:rFonts w:ascii="Times New Roman" w:hAnsi="Times New Roman" w:cs="Times New Roman"/>
          <w:sz w:val="24"/>
          <w:szCs w:val="24"/>
          <w:lang w:val="kk-KZ"/>
        </w:rPr>
        <w:t xml:space="preserve"> қаласы</w:t>
      </w:r>
    </w:p>
    <w:p w:rsidR="00A5734C" w:rsidRDefault="00A5734C" w:rsidP="00A5734C">
      <w:pPr>
        <w:pStyle w:val="a5"/>
        <w:spacing w:before="0" w:beforeAutospacing="0" w:after="0" w:afterAutospacing="0" w:line="315" w:lineRule="atLeast"/>
        <w:ind w:firstLine="300"/>
        <w:jc w:val="both"/>
        <w:rPr>
          <w:b/>
          <w:color w:val="2A2723"/>
          <w:lang w:val="kk-KZ"/>
        </w:rPr>
      </w:pPr>
    </w:p>
    <w:p w:rsidR="00A5734C" w:rsidRDefault="00A5734C" w:rsidP="00A5734C">
      <w:pPr>
        <w:pStyle w:val="a5"/>
        <w:spacing w:before="0" w:beforeAutospacing="0" w:after="0" w:afterAutospacing="0" w:line="315" w:lineRule="atLeast"/>
        <w:ind w:firstLine="300"/>
        <w:jc w:val="both"/>
        <w:rPr>
          <w:b/>
          <w:color w:val="2A2723"/>
          <w:lang w:val="kk-KZ"/>
        </w:rPr>
      </w:pPr>
      <w:r>
        <w:rPr>
          <w:b/>
          <w:color w:val="2A2723"/>
          <w:lang w:val="kk-KZ"/>
        </w:rPr>
        <w:t xml:space="preserve">           </w:t>
      </w:r>
    </w:p>
    <w:p w:rsidR="00A5734C" w:rsidRDefault="00A5734C" w:rsidP="00A5734C">
      <w:pPr>
        <w:pStyle w:val="a5"/>
        <w:spacing w:before="0" w:beforeAutospacing="0" w:after="0" w:afterAutospacing="0" w:line="315" w:lineRule="atLeast"/>
        <w:ind w:firstLine="300"/>
        <w:jc w:val="both"/>
        <w:rPr>
          <w:b/>
          <w:color w:val="2A2723"/>
          <w:lang w:val="kk-KZ"/>
        </w:rPr>
      </w:pPr>
      <w:r>
        <w:rPr>
          <w:b/>
          <w:color w:val="2A2723"/>
          <w:lang w:val="kk-KZ"/>
        </w:rPr>
        <w:t xml:space="preserve">            ВОПРОСЫ,  ДИАГНОСТИРУЮЩИЕ ПОНИМАНИЕ ПРОЧИТАННОГО</w:t>
      </w:r>
    </w:p>
    <w:p w:rsidR="00A5734C" w:rsidRDefault="00A5734C" w:rsidP="00A5734C">
      <w:pPr>
        <w:pStyle w:val="a5"/>
        <w:ind w:firstLine="660"/>
        <w:jc w:val="both"/>
        <w:rPr>
          <w:color w:val="2A2723"/>
          <w:lang w:val="kk-KZ"/>
        </w:rPr>
      </w:pPr>
      <w:r>
        <w:rPr>
          <w:color w:val="2A2723"/>
          <w:lang w:val="kk-KZ"/>
        </w:rPr>
        <w:t xml:space="preserve">Чтение является важным навыком и действительно необходимым для образовательной системы, которая является основной частью грамотности и инструментом обучения. Кроме того, чтение может помочь учащимся быстро и широко осознать академический успех как изнутри, так и за его пределами, мир не стоит на месте, поэтому молодежь желает продвигаться по миру,  стать грамотным. Чтение также может улучшить индивидуальную  рабочую или профессиональную компетентность и   обществу требуются  физический, социально здоровые, психологический сильные люди, иначе говоря, осознанное знание- это сила.                             Международный опрос PISA - это инструмент, который измеряет способность 15-летних подростков читать самостоятельно и повышать собственную грамотность, чтобы улучшить не тоолько свою академическую успеваемость, но и свою жизнь. К  15 летнему возрасту студент должен уметь свободно читать,  понимать научный, публицистический, художественный или исторический текст\ книгу любой сложности  и принимать решения в его контексте.  Кроме того, его способность работать с нормативными документами на разных уровнях, а также писать, понимая и заполнять деловые документы также демонстрирует его грамотность. Но так ли это на самом деле? </w:t>
      </w:r>
    </w:p>
    <w:p w:rsidR="00A5734C" w:rsidRDefault="00A5734C" w:rsidP="00A5734C">
      <w:pPr>
        <w:pStyle w:val="a5"/>
        <w:ind w:firstLine="660"/>
        <w:jc w:val="both"/>
        <w:rPr>
          <w:color w:val="2A2723"/>
          <w:lang w:val="kk-KZ"/>
        </w:rPr>
      </w:pPr>
      <w:r>
        <w:rPr>
          <w:color w:val="2A2723"/>
          <w:lang w:val="kk-KZ"/>
        </w:rPr>
        <w:t>Исследователи говорят, что 75% тех, кто читает меньше всех соглашаются работать за низкую заработную плату во взрослой жизни, они всегда экономически слабы и несвободны. К сожалению и сейчас много представителей из взрослого конитнгента, кто  считает достаточным, чтобы ребенок прочитал тексты из учебника по основным школьным предметам. Также одна из частых жалоб преподавателей заключается в том, что учащиеся не понимают прочитанное. Вот 10 распространенных причин непонимания  прочитанного:</w:t>
      </w:r>
    </w:p>
    <w:p w:rsidR="00A5734C" w:rsidRPr="00A5734C" w:rsidRDefault="00A5734C" w:rsidP="00A5734C">
      <w:pPr>
        <w:pStyle w:val="a5"/>
        <w:ind w:firstLine="300"/>
        <w:jc w:val="both"/>
        <w:rPr>
          <w:color w:val="2A2723"/>
          <w:lang w:val="kk-KZ"/>
        </w:rPr>
      </w:pPr>
      <w:r w:rsidRPr="00A5734C">
        <w:rPr>
          <w:color w:val="2A2723"/>
          <w:lang w:val="kk-KZ"/>
        </w:rPr>
        <w:t>1. Отсутствие  доступа к грамотности в раннем возрасте;</w:t>
      </w:r>
    </w:p>
    <w:p w:rsidR="00A5734C" w:rsidRPr="00A5734C" w:rsidRDefault="00A5734C" w:rsidP="00A5734C">
      <w:pPr>
        <w:pStyle w:val="a5"/>
        <w:ind w:firstLine="300"/>
        <w:jc w:val="both"/>
        <w:rPr>
          <w:color w:val="2A2723"/>
          <w:lang w:val="kk-KZ"/>
        </w:rPr>
      </w:pPr>
      <w:r w:rsidRPr="00A5734C">
        <w:rPr>
          <w:color w:val="2A2723"/>
          <w:lang w:val="kk-KZ"/>
        </w:rPr>
        <w:t>2. Низкая семейная грамотность;</w:t>
      </w:r>
    </w:p>
    <w:p w:rsidR="00A5734C" w:rsidRPr="00A5734C" w:rsidRDefault="00A5734C" w:rsidP="00A5734C">
      <w:pPr>
        <w:pStyle w:val="a5"/>
        <w:ind w:firstLine="300"/>
        <w:jc w:val="both"/>
        <w:rPr>
          <w:color w:val="2A2723"/>
          <w:lang w:val="kk-KZ"/>
        </w:rPr>
      </w:pPr>
      <w:r w:rsidRPr="00A5734C">
        <w:rPr>
          <w:color w:val="2A2723"/>
          <w:lang w:val="kk-KZ"/>
        </w:rPr>
        <w:t>3. Отсутствие традиции чтения в начальных классах;</w:t>
      </w:r>
    </w:p>
    <w:p w:rsidR="00A5734C" w:rsidRPr="00A5734C" w:rsidRDefault="00A5734C" w:rsidP="00A5734C">
      <w:pPr>
        <w:pStyle w:val="a5"/>
        <w:ind w:firstLine="300"/>
        <w:jc w:val="both"/>
        <w:rPr>
          <w:color w:val="2A2723"/>
          <w:lang w:val="kk-KZ"/>
        </w:rPr>
      </w:pPr>
      <w:r w:rsidRPr="00A5734C">
        <w:rPr>
          <w:color w:val="2A2723"/>
          <w:lang w:val="kk-KZ"/>
        </w:rPr>
        <w:t>4. Ограниченные письменные навыки;</w:t>
      </w:r>
    </w:p>
    <w:p w:rsidR="00A5734C" w:rsidRPr="00A5734C" w:rsidRDefault="00A5734C" w:rsidP="00A5734C">
      <w:pPr>
        <w:pStyle w:val="a5"/>
        <w:ind w:firstLine="300"/>
        <w:jc w:val="both"/>
        <w:rPr>
          <w:color w:val="2A2723"/>
          <w:lang w:val="kk-KZ"/>
        </w:rPr>
      </w:pPr>
      <w:r w:rsidRPr="00A5734C">
        <w:rPr>
          <w:color w:val="2A2723"/>
          <w:lang w:val="kk-KZ"/>
        </w:rPr>
        <w:t>5. Учителя читают ученикам только в рамках госстандарта;</w:t>
      </w:r>
    </w:p>
    <w:p w:rsidR="00A5734C" w:rsidRPr="00A5734C" w:rsidRDefault="00A5734C" w:rsidP="00A5734C">
      <w:pPr>
        <w:pStyle w:val="a5"/>
        <w:ind w:firstLine="300"/>
        <w:jc w:val="both"/>
        <w:rPr>
          <w:color w:val="2A2723"/>
          <w:lang w:val="kk-KZ"/>
        </w:rPr>
      </w:pPr>
      <w:r w:rsidRPr="00A5734C">
        <w:rPr>
          <w:color w:val="2A2723"/>
          <w:lang w:val="kk-KZ"/>
        </w:rPr>
        <w:t>6. Отсутствие диалога с друзьями о книгах;</w:t>
      </w:r>
    </w:p>
    <w:p w:rsidR="00A5734C" w:rsidRPr="00A5734C" w:rsidRDefault="00A5734C" w:rsidP="00A5734C">
      <w:pPr>
        <w:pStyle w:val="a5"/>
        <w:ind w:firstLine="300"/>
        <w:jc w:val="both"/>
        <w:rPr>
          <w:color w:val="2A2723"/>
          <w:lang w:val="kk-KZ"/>
        </w:rPr>
      </w:pPr>
      <w:r w:rsidRPr="00A5734C">
        <w:rPr>
          <w:color w:val="2A2723"/>
          <w:lang w:val="kk-KZ"/>
        </w:rPr>
        <w:t>7. Низкая посещаемость библиотек и книжных магазинов;</w:t>
      </w:r>
    </w:p>
    <w:p w:rsidR="00A5734C" w:rsidRPr="00A5734C" w:rsidRDefault="00A5734C" w:rsidP="00A5734C">
      <w:pPr>
        <w:pStyle w:val="a5"/>
        <w:ind w:firstLine="300"/>
        <w:jc w:val="both"/>
        <w:rPr>
          <w:color w:val="2A2723"/>
          <w:lang w:val="kk-KZ"/>
        </w:rPr>
      </w:pPr>
      <w:r w:rsidRPr="00A5734C">
        <w:rPr>
          <w:color w:val="2A2723"/>
          <w:lang w:val="kk-KZ"/>
        </w:rPr>
        <w:t>8. Традиционные и ограниченные стратегии чтения, предлагаемые учителями;</w:t>
      </w:r>
    </w:p>
    <w:p w:rsidR="00A5734C" w:rsidRPr="00A5734C" w:rsidRDefault="00A5734C" w:rsidP="00A5734C">
      <w:pPr>
        <w:pStyle w:val="a5"/>
        <w:ind w:firstLine="300"/>
        <w:jc w:val="both"/>
        <w:rPr>
          <w:color w:val="2A2723"/>
          <w:lang w:val="kk-KZ"/>
        </w:rPr>
      </w:pPr>
      <w:r w:rsidRPr="00A5734C">
        <w:rPr>
          <w:color w:val="2A2723"/>
          <w:lang w:val="kk-KZ"/>
        </w:rPr>
        <w:t xml:space="preserve">9. Отсутствие специального режима дня для чтения как дома так и в школе;  </w:t>
      </w:r>
    </w:p>
    <w:p w:rsidR="00A5734C" w:rsidRDefault="00A5734C" w:rsidP="00A5734C">
      <w:pPr>
        <w:pStyle w:val="a5"/>
        <w:ind w:firstLine="300"/>
        <w:jc w:val="both"/>
        <w:rPr>
          <w:color w:val="2A2723"/>
          <w:lang w:val="kk-KZ"/>
        </w:rPr>
      </w:pPr>
      <w:r w:rsidRPr="00A5734C">
        <w:rPr>
          <w:color w:val="2A2723"/>
          <w:lang w:val="kk-KZ"/>
        </w:rPr>
        <w:t>10. Психологические расстройства или нарушения чтения;</w:t>
      </w:r>
    </w:p>
    <w:p w:rsidR="00A5734C" w:rsidRDefault="00A5734C" w:rsidP="00A5734C">
      <w:pPr>
        <w:pStyle w:val="a5"/>
        <w:ind w:firstLine="708"/>
        <w:jc w:val="both"/>
        <w:rPr>
          <w:color w:val="2A2723"/>
          <w:highlight w:val="yellow"/>
          <w:lang w:val="kk-KZ"/>
        </w:rPr>
      </w:pPr>
      <w:r>
        <w:rPr>
          <w:color w:val="2A2723"/>
          <w:lang w:val="kk-KZ"/>
        </w:rPr>
        <w:lastRenderedPageBreak/>
        <w:t xml:space="preserve">Прежде чем, внедреять идеи проекта Читающая школа, продиагностируйте возможности учеников для свободного чтения и проблемы понимания прочитанного (тесты, анкеты, интервью могут использоваться в качестве инструментов диагностики). Важно выбрать   контент для чтения, соответствующий их потенциалу, что они читают? Кроме того, есть еще важный вопрос, как им нравится читать? (Стратегии чтения). Нет сомнений в том, что учитель будет задавать вдумчивые вопросы, но дайте ученикам такую ​​возможность самим задавать вопросы и обязательно выделите  время для  обдумывания и письма. </w:t>
      </w:r>
      <w:r>
        <w:rPr>
          <w:lang w:val="kk-KZ"/>
        </w:rPr>
        <w:t xml:space="preserve"> </w:t>
      </w:r>
      <w:r>
        <w:rPr>
          <w:color w:val="2A2723"/>
          <w:lang w:val="kk-KZ"/>
        </w:rPr>
        <w:t xml:space="preserve">Процесс чтения  делится на три момента: процесс до чтения (подготовка: что вы думаете об этой .... проблеме), процесс во время чтения (особая стратегия чтения), процесс после чтения (размышление: как я читал?, как я понял трудные слова? Какое отношение это имеет к моей жизни?). В дальнейшем, все зависит от мастерства задавать  вдумчивые вопросы, но мы не должны забывать, что у читателей тоже есть свобода слова. Итак, следующие вопросы,  возможно помогут начать диагностировать понимание читателей:  </w:t>
      </w:r>
    </w:p>
    <w:p w:rsidR="00A5734C" w:rsidRDefault="00A5734C" w:rsidP="00A5734C">
      <w:pPr>
        <w:pStyle w:val="a5"/>
        <w:numPr>
          <w:ilvl w:val="0"/>
          <w:numId w:val="1"/>
        </w:numPr>
        <w:spacing w:line="315" w:lineRule="atLeast"/>
        <w:jc w:val="both"/>
        <w:rPr>
          <w:color w:val="2A2723"/>
        </w:rPr>
      </w:pPr>
      <w:r>
        <w:rPr>
          <w:color w:val="2A2723"/>
        </w:rPr>
        <w:t>На какие вопросы отвечает автор в своей книге?</w:t>
      </w:r>
      <w:r>
        <w:rPr>
          <w:color w:val="2A2723"/>
          <w:lang w:val="kk-KZ"/>
        </w:rPr>
        <w:t xml:space="preserve"> (составьте пожалуйста ваши три вопроса письменно и обсудите в группе)</w:t>
      </w:r>
    </w:p>
    <w:p w:rsidR="00A5734C" w:rsidRDefault="00A5734C" w:rsidP="00A5734C">
      <w:pPr>
        <w:pStyle w:val="a5"/>
        <w:numPr>
          <w:ilvl w:val="0"/>
          <w:numId w:val="1"/>
        </w:numPr>
        <w:spacing w:line="315" w:lineRule="atLeast"/>
        <w:jc w:val="both"/>
        <w:rPr>
          <w:color w:val="2A2723"/>
        </w:rPr>
      </w:pPr>
      <w:r>
        <w:rPr>
          <w:color w:val="2A2723"/>
        </w:rPr>
        <w:t>О чем мы узнаем из этой главы, иллюстрации? Что вам особенно запомнилось при чтении</w:t>
      </w:r>
      <w:r>
        <w:rPr>
          <w:color w:val="2A2723"/>
          <w:lang w:val="kk-KZ"/>
        </w:rPr>
        <w:t xml:space="preserve"> о...?</w:t>
      </w:r>
      <w:r>
        <w:rPr>
          <w:color w:val="2A2723"/>
        </w:rPr>
        <w:t xml:space="preserve"> Что особенного вы заметили в </w:t>
      </w:r>
      <w:proofErr w:type="spellStart"/>
      <w:r>
        <w:rPr>
          <w:color w:val="2A2723"/>
        </w:rPr>
        <w:t>иллюстра</w:t>
      </w:r>
      <w:proofErr w:type="spellEnd"/>
      <w:r>
        <w:rPr>
          <w:color w:val="2A2723"/>
          <w:lang w:val="kk-KZ"/>
        </w:rPr>
        <w:t>ци</w:t>
      </w:r>
      <w:proofErr w:type="spellStart"/>
      <w:r>
        <w:rPr>
          <w:color w:val="2A2723"/>
        </w:rPr>
        <w:t>ях</w:t>
      </w:r>
      <w:proofErr w:type="spellEnd"/>
      <w:r>
        <w:rPr>
          <w:color w:val="2A2723"/>
        </w:rPr>
        <w:t>? Основная мысль этого раздела, иллюстрации, схемы, диаграммы? О чем вам напоминает этот раздел, иллюстрация, объяснение? Как новые знания помогают понять...?</w:t>
      </w:r>
    </w:p>
    <w:p w:rsidR="00A5734C" w:rsidRDefault="00A5734C" w:rsidP="00A5734C">
      <w:pPr>
        <w:pStyle w:val="a5"/>
        <w:numPr>
          <w:ilvl w:val="0"/>
          <w:numId w:val="1"/>
        </w:numPr>
        <w:spacing w:line="315" w:lineRule="atLeast"/>
        <w:jc w:val="both"/>
        <w:rPr>
          <w:color w:val="2A2723"/>
        </w:rPr>
      </w:pPr>
      <w:r>
        <w:rPr>
          <w:color w:val="2A2723"/>
        </w:rPr>
        <w:t xml:space="preserve">Что имеет в виду автор, когда говорит: «...»? </w:t>
      </w:r>
    </w:p>
    <w:p w:rsidR="00A5734C" w:rsidRDefault="00A5734C" w:rsidP="00A5734C">
      <w:pPr>
        <w:pStyle w:val="a5"/>
        <w:numPr>
          <w:ilvl w:val="0"/>
          <w:numId w:val="1"/>
        </w:numPr>
        <w:spacing w:line="315" w:lineRule="atLeast"/>
        <w:jc w:val="both"/>
        <w:rPr>
          <w:color w:val="2A2723"/>
        </w:rPr>
      </w:pPr>
      <w:r>
        <w:rPr>
          <w:color w:val="2A2723"/>
        </w:rPr>
        <w:t>Завершая урок, на котором учащиеся читали научный текст, учитель мог бы вывести их и на критическое мышление, спросив: Затрагивают ли вопросы, на которые отвечал автор, такую тему, как ...?</w:t>
      </w:r>
    </w:p>
    <w:p w:rsidR="00A5734C" w:rsidRDefault="00A5734C" w:rsidP="00A5734C">
      <w:pPr>
        <w:pStyle w:val="a5"/>
        <w:numPr>
          <w:ilvl w:val="0"/>
          <w:numId w:val="1"/>
        </w:numPr>
        <w:spacing w:line="315" w:lineRule="atLeast"/>
        <w:jc w:val="both"/>
        <w:rPr>
          <w:color w:val="2A2723"/>
        </w:rPr>
      </w:pPr>
      <w:r>
        <w:rPr>
          <w:color w:val="2A2723"/>
        </w:rPr>
        <w:t>Не осталось ли у вас вопросов о ..., на которые автор не дал ответов? с</w:t>
      </w:r>
    </w:p>
    <w:p w:rsidR="00A5734C" w:rsidRDefault="00A5734C" w:rsidP="00A5734C">
      <w:pPr>
        <w:pStyle w:val="a5"/>
        <w:numPr>
          <w:ilvl w:val="0"/>
          <w:numId w:val="1"/>
        </w:numPr>
        <w:spacing w:line="315" w:lineRule="atLeast"/>
        <w:jc w:val="both"/>
        <w:rPr>
          <w:color w:val="2A2723"/>
        </w:rPr>
      </w:pPr>
      <w:r>
        <w:rPr>
          <w:color w:val="2A2723"/>
        </w:rPr>
        <w:t>Если бы вам пришлось решать вопрос о</w:t>
      </w:r>
      <w:proofErr w:type="gramStart"/>
      <w:r>
        <w:rPr>
          <w:color w:val="2A2723"/>
        </w:rPr>
        <w:t xml:space="preserve"> ....</w:t>
      </w:r>
      <w:r>
        <w:rPr>
          <w:color w:val="2A2723"/>
          <w:lang w:val="kk-KZ"/>
        </w:rPr>
        <w:t xml:space="preserve"> </w:t>
      </w:r>
      <w:proofErr w:type="gramEnd"/>
      <w:r>
        <w:rPr>
          <w:color w:val="2A2723"/>
        </w:rPr>
        <w:t>основываясь на (тексте, схемах, диаграммах, иллюстрациях), что бы вы решили?</w:t>
      </w:r>
    </w:p>
    <w:p w:rsidR="00A5734C" w:rsidRDefault="00A5734C" w:rsidP="00A5734C">
      <w:pPr>
        <w:pStyle w:val="a5"/>
        <w:numPr>
          <w:ilvl w:val="0"/>
          <w:numId w:val="1"/>
        </w:numPr>
        <w:spacing w:line="315" w:lineRule="atLeast"/>
        <w:jc w:val="both"/>
        <w:rPr>
          <w:color w:val="2A2723"/>
        </w:rPr>
      </w:pPr>
      <w:r>
        <w:rPr>
          <w:color w:val="2A2723"/>
        </w:rPr>
        <w:t xml:space="preserve">Какими знаниями должен был обладать автор для </w:t>
      </w:r>
      <w:proofErr w:type="spellStart"/>
      <w:r>
        <w:rPr>
          <w:color w:val="2A2723"/>
        </w:rPr>
        <w:t>написання</w:t>
      </w:r>
      <w:proofErr w:type="spellEnd"/>
      <w:r>
        <w:rPr>
          <w:color w:val="2A2723"/>
        </w:rPr>
        <w:t xml:space="preserve"> такого текста? Где он/она могли получить информацию, использован </w:t>
      </w:r>
      <w:proofErr w:type="spellStart"/>
      <w:r>
        <w:rPr>
          <w:color w:val="2A2723"/>
        </w:rPr>
        <w:t>ную</w:t>
      </w:r>
      <w:proofErr w:type="spellEnd"/>
      <w:r>
        <w:rPr>
          <w:color w:val="2A2723"/>
        </w:rPr>
        <w:t xml:space="preserve"> в этой книге? Когда была написана книга? Изменились ли</w:t>
      </w:r>
      <w:r>
        <w:rPr>
          <w:color w:val="2A2723"/>
          <w:lang w:val="kk-KZ"/>
        </w:rPr>
        <w:t xml:space="preserve"> </w:t>
      </w:r>
      <w:r>
        <w:rPr>
          <w:color w:val="2A2723"/>
        </w:rPr>
        <w:t>наши взгляды на ... со времени написания книги?</w:t>
      </w:r>
    </w:p>
    <w:p w:rsidR="00A5734C" w:rsidRDefault="00A5734C" w:rsidP="00A5734C">
      <w:pPr>
        <w:pStyle w:val="a5"/>
        <w:numPr>
          <w:ilvl w:val="0"/>
          <w:numId w:val="1"/>
        </w:numPr>
        <w:spacing w:before="0" w:beforeAutospacing="0" w:after="0" w:afterAutospacing="0" w:line="315" w:lineRule="atLeast"/>
        <w:jc w:val="both"/>
        <w:rPr>
          <w:color w:val="2A2723"/>
        </w:rPr>
      </w:pPr>
      <w:r>
        <w:rPr>
          <w:color w:val="2A2723"/>
        </w:rPr>
        <w:t xml:space="preserve">В какой форме может проходить размышление учеников? </w:t>
      </w:r>
    </w:p>
    <w:p w:rsidR="00A5734C" w:rsidRDefault="00A5734C" w:rsidP="00A5734C">
      <w:pPr>
        <w:pStyle w:val="a5"/>
        <w:spacing w:before="0" w:beforeAutospacing="0" w:after="0" w:afterAutospacing="0" w:line="315" w:lineRule="atLeast"/>
        <w:ind w:firstLine="660"/>
        <w:jc w:val="both"/>
        <w:rPr>
          <w:color w:val="2A2723"/>
        </w:rPr>
      </w:pPr>
      <w:r>
        <w:rPr>
          <w:color w:val="2A2723"/>
        </w:rPr>
        <w:t>Благодаря размышлению мы конструируем</w:t>
      </w:r>
      <w:r>
        <w:rPr>
          <w:color w:val="2A2723"/>
          <w:lang w:val="kk-KZ"/>
        </w:rPr>
        <w:t xml:space="preserve"> </w:t>
      </w:r>
      <w:r>
        <w:rPr>
          <w:color w:val="2A2723"/>
        </w:rPr>
        <w:t xml:space="preserve">смысл, осознаем, каким путем мы к нему при шли, и анализируем этот смысл. Чтобы как-то использовать результаты размышлений, их надо зафиксировать каким-либо ощутимым образом. Размышления могут принять форму письменного повествования, кластера, списка вопросов, планов, рисунков, схем, моделей и аудиозаписей. </w:t>
      </w:r>
    </w:p>
    <w:p w:rsidR="00A5734C" w:rsidRDefault="00A5734C" w:rsidP="00A5734C">
      <w:pPr>
        <w:pStyle w:val="a5"/>
        <w:spacing w:before="0" w:beforeAutospacing="0" w:after="0" w:afterAutospacing="0" w:line="315" w:lineRule="atLeast"/>
        <w:ind w:firstLine="660"/>
        <w:jc w:val="both"/>
        <w:rPr>
          <w:color w:val="2A2723"/>
          <w:lang w:val="kk-KZ"/>
        </w:rPr>
      </w:pPr>
      <w:r>
        <w:rPr>
          <w:color w:val="2A2723"/>
        </w:rPr>
        <w:t>Если размышления проходят в</w:t>
      </w:r>
      <w:r>
        <w:rPr>
          <w:color w:val="2A2723"/>
          <w:lang w:val="kk-KZ"/>
        </w:rPr>
        <w:t xml:space="preserve"> </w:t>
      </w:r>
      <w:r>
        <w:rPr>
          <w:color w:val="2A2723"/>
        </w:rPr>
        <w:t>устной форме, возникает множество трудностей, так как у нас не остается материала</w:t>
      </w:r>
      <w:proofErr w:type="gramStart"/>
      <w:r>
        <w:rPr>
          <w:color w:val="2A2723"/>
        </w:rPr>
        <w:t>.</w:t>
      </w:r>
      <w:proofErr w:type="gramEnd"/>
      <w:r>
        <w:rPr>
          <w:color w:val="2A2723"/>
        </w:rPr>
        <w:t xml:space="preserve"> </w:t>
      </w:r>
      <w:proofErr w:type="gramStart"/>
      <w:r>
        <w:rPr>
          <w:color w:val="2A2723"/>
        </w:rPr>
        <w:t>к</w:t>
      </w:r>
      <w:proofErr w:type="gramEnd"/>
      <w:r>
        <w:rPr>
          <w:color w:val="2A2723"/>
        </w:rPr>
        <w:t xml:space="preserve">оторый можно впоследствии проанализировать. При наличии записей мы можем вернуться к результатам своей мыслительной деятельности, изучить их, поделиться с собеседником, подвергнуть </w:t>
      </w:r>
      <w:proofErr w:type="spellStart"/>
      <w:r>
        <w:rPr>
          <w:color w:val="2A2723"/>
        </w:rPr>
        <w:t>сомне</w:t>
      </w:r>
      <w:proofErr w:type="spellEnd"/>
      <w:r>
        <w:rPr>
          <w:color w:val="2A2723"/>
          <w:lang w:val="kk-KZ"/>
        </w:rPr>
        <w:t>нию,</w:t>
      </w:r>
      <w:r>
        <w:rPr>
          <w:color w:val="2A2723"/>
        </w:rPr>
        <w:t xml:space="preserve"> пересмотреть их кардинально или в некоторой степени, сделать их основой для дальнейших планов. Размышление обычно начинается как процесс индивидуальный. Именно личный ответ, понимание, размышление увлекают студентов и дают основу для сравнения. Тем не менее, нельзя ограничиваться размышлениями нас </w:t>
      </w:r>
      <w:r>
        <w:rPr>
          <w:color w:val="2A2723"/>
          <w:lang w:val="kk-KZ"/>
        </w:rPr>
        <w:t>е</w:t>
      </w:r>
      <w:r>
        <w:rPr>
          <w:color w:val="2A2723"/>
        </w:rPr>
        <w:t>дине с собой. Работая в группах, ученики дол</w:t>
      </w:r>
      <w:r>
        <w:rPr>
          <w:color w:val="2A2723"/>
          <w:lang w:val="kk-KZ"/>
        </w:rPr>
        <w:t xml:space="preserve">жны </w:t>
      </w:r>
      <w:r>
        <w:rPr>
          <w:color w:val="2A2723"/>
        </w:rPr>
        <w:t xml:space="preserve">поделиться друг с другом результатами своих размышлений. Это даст им </w:t>
      </w:r>
      <w:r>
        <w:rPr>
          <w:color w:val="2A2723"/>
        </w:rPr>
        <w:lastRenderedPageBreak/>
        <w:t xml:space="preserve">возможность сравнить и обдумать разные точки </w:t>
      </w:r>
      <w:proofErr w:type="spellStart"/>
      <w:r>
        <w:rPr>
          <w:color w:val="2A2723"/>
        </w:rPr>
        <w:t>зрен</w:t>
      </w:r>
      <w:proofErr w:type="spellEnd"/>
      <w:r>
        <w:rPr>
          <w:color w:val="2A2723"/>
          <w:lang w:val="kk-KZ"/>
        </w:rPr>
        <w:t>и</w:t>
      </w:r>
      <w:r>
        <w:rPr>
          <w:color w:val="2A2723"/>
        </w:rPr>
        <w:t>я, заставит яснее излагать свои мысли, обосновывать свою позицию.</w:t>
      </w:r>
      <w:r>
        <w:rPr>
          <w:color w:val="2A2723"/>
          <w:lang w:val="kk-KZ"/>
        </w:rPr>
        <w:t xml:space="preserve"> </w:t>
      </w:r>
    </w:p>
    <w:p w:rsidR="00A5734C" w:rsidRDefault="00A5734C" w:rsidP="00A5734C">
      <w:pPr>
        <w:pStyle w:val="a5"/>
        <w:spacing w:before="0" w:beforeAutospacing="0" w:after="0" w:afterAutospacing="0" w:line="315" w:lineRule="atLeast"/>
        <w:ind w:firstLine="660"/>
        <w:jc w:val="both"/>
        <w:rPr>
          <w:color w:val="2A2723"/>
          <w:lang w:val="kk-KZ"/>
        </w:rPr>
      </w:pPr>
      <w:r>
        <w:rPr>
          <w:color w:val="2A2723"/>
        </w:rPr>
        <w:t>Выбирая способы стимулирования учеников к размышлению, я всегда задаюсь вопросом: -Какова цель данного размышления? Может, ученики должны разобраться - как они узнают новое, как они делают умозаключения, как решают, что действительно важно, а что можно проигнорировать, что они пони мают, а что не понимают? Если ответ положительный, их следует вывести на мышление о познании.</w:t>
      </w:r>
      <w:r>
        <w:rPr>
          <w:color w:val="2A2723"/>
          <w:lang w:val="kk-KZ"/>
        </w:rPr>
        <w:t xml:space="preserve"> </w:t>
      </w:r>
      <w:r>
        <w:rPr>
          <w:color w:val="2A2723"/>
        </w:rPr>
        <w:t xml:space="preserve">А если ученики лишь подходят к освоению некоего важного понятия? В таком случае конструктивное мышление поможет навести мосты между актуальными вопросами и </w:t>
      </w:r>
      <w:proofErr w:type="spellStart"/>
      <w:r>
        <w:rPr>
          <w:color w:val="2A2723"/>
        </w:rPr>
        <w:t>накоп</w:t>
      </w:r>
      <w:proofErr w:type="spellEnd"/>
      <w:r>
        <w:rPr>
          <w:color w:val="2A2723"/>
          <w:lang w:val="kk-KZ"/>
        </w:rPr>
        <w:t>ленным</w:t>
      </w:r>
      <w:r>
        <w:rPr>
          <w:color w:val="2A2723"/>
        </w:rPr>
        <w:t xml:space="preserve"> ранее опытом. Предложите учащимся резюмировать свои знания в этой области или подготовить ряд</w:t>
      </w:r>
      <w:r>
        <w:rPr>
          <w:color w:val="2A2723"/>
          <w:lang w:val="kk-KZ"/>
        </w:rPr>
        <w:t xml:space="preserve"> в</w:t>
      </w:r>
      <w:r>
        <w:rPr>
          <w:color w:val="2A2723"/>
        </w:rPr>
        <w:t>опросов для интервью со специалистом.</w:t>
      </w:r>
      <w:r>
        <w:rPr>
          <w:color w:val="2A2723"/>
          <w:lang w:val="kk-KZ"/>
        </w:rPr>
        <w:t xml:space="preserve"> </w:t>
      </w:r>
      <w:r>
        <w:rPr>
          <w:color w:val="2A2723"/>
        </w:rPr>
        <w:t xml:space="preserve">Если же ученики должны оценить правильность объяснения, составить мнение об убедительности доказательства, подвергнуть сомнению результаты исследования, оспорить утверждения, обдумать последствия </w:t>
      </w:r>
      <w:proofErr w:type="spellStart"/>
      <w:r>
        <w:rPr>
          <w:color w:val="2A2723"/>
        </w:rPr>
        <w:t>опреде</w:t>
      </w:r>
      <w:proofErr w:type="spellEnd"/>
      <w:r>
        <w:rPr>
          <w:color w:val="2A2723"/>
          <w:lang w:val="kk-KZ"/>
        </w:rPr>
        <w:t xml:space="preserve">ленного </w:t>
      </w:r>
      <w:r>
        <w:rPr>
          <w:color w:val="2A2723"/>
        </w:rPr>
        <w:t>курса действий, тогда критическое мышление будет стимулировать их мысль поможет задать более глубокие вопросы, пересмотреть вы</w:t>
      </w:r>
      <w:r>
        <w:rPr>
          <w:color w:val="2A2723"/>
          <w:lang w:val="kk-KZ"/>
        </w:rPr>
        <w:t xml:space="preserve">воды, сделанные </w:t>
      </w:r>
      <w:r>
        <w:rPr>
          <w:color w:val="2A2723"/>
        </w:rPr>
        <w:t>наспех, или просто подтвердит их прежние взгляды</w:t>
      </w:r>
      <w:r>
        <w:rPr>
          <w:color w:val="2A2723"/>
          <w:lang w:val="kk-KZ"/>
        </w:rPr>
        <w:t>.</w:t>
      </w:r>
    </w:p>
    <w:p w:rsidR="00A5734C" w:rsidRDefault="00A5734C" w:rsidP="00A5734C">
      <w:pPr>
        <w:pStyle w:val="a5"/>
        <w:spacing w:before="0" w:beforeAutospacing="0" w:after="0" w:afterAutospacing="0" w:line="315" w:lineRule="atLeast"/>
        <w:ind w:firstLine="660"/>
        <w:jc w:val="both"/>
        <w:rPr>
          <w:color w:val="2A2723"/>
        </w:rPr>
      </w:pPr>
      <w:r>
        <w:rPr>
          <w:color w:val="2A2723"/>
        </w:rPr>
        <w:t>Первое принципиальное положение Л. С. Выготского: «Обычно думают..., что понимание лучше при медленном чтении, однако... при быстром чтении (</w:t>
      </w:r>
      <w:r>
        <w:rPr>
          <w:color w:val="2A2723"/>
          <w:lang w:val="kk-KZ"/>
        </w:rPr>
        <w:t>н</w:t>
      </w:r>
      <w:r>
        <w:rPr>
          <w:color w:val="2A2723"/>
        </w:rPr>
        <w:t>е в смысле динамического чтения, а просто более быстром. - Авт.) понимание идет лучше, ибо... сама скорость понимания отвечает более быстрому темпу чтения». Но к сожалению, продолжает он, чтение до сих пор изучалось «как сложный сенсомоторный навык, а не как психический процесс очень сложного порядка.... Работа зрительного механизма является до известной степени, подчиненной процессам понимания» (Выготский, 1996, с. 169). Думается, это положение остается актуальным и сейчас, особенно для психологии обучения.</w:t>
      </w:r>
    </w:p>
    <w:p w:rsidR="00A5734C" w:rsidRDefault="00A5734C" w:rsidP="00A5734C">
      <w:pPr>
        <w:pStyle w:val="a5"/>
        <w:spacing w:before="0" w:beforeAutospacing="0" w:after="0" w:afterAutospacing="0" w:line="315" w:lineRule="atLeast"/>
        <w:ind w:firstLine="660"/>
        <w:jc w:val="both"/>
        <w:rPr>
          <w:color w:val="2A2723"/>
        </w:rPr>
      </w:pPr>
      <w:r>
        <w:rPr>
          <w:color w:val="2A2723"/>
        </w:rPr>
        <w:t>Второе положение: умения понимания заключаются в том, чтобы «ориентироваться в сложном внутреннем пространстве, которое можно было бы назвать системой отношений. В этом устанавливании отношений, выделении важного, в сведении и переходе заключается процесс, называемый обычно пониманием» (там же, с. 170).</w:t>
      </w:r>
    </w:p>
    <w:p w:rsidR="00A5734C" w:rsidRDefault="00A5734C" w:rsidP="00A5734C">
      <w:pPr>
        <w:pStyle w:val="a5"/>
        <w:spacing w:before="0" w:beforeAutospacing="0" w:after="0" w:afterAutospacing="0" w:line="315" w:lineRule="atLeast"/>
        <w:ind w:firstLine="660"/>
        <w:jc w:val="both"/>
        <w:rPr>
          <w:color w:val="2A2723"/>
        </w:rPr>
      </w:pPr>
      <w:r>
        <w:rPr>
          <w:color w:val="2A2723"/>
        </w:rPr>
        <w:t xml:space="preserve">Это развивается и конкретизуется в третьем положении. «Чтение - сложный процесс, в котором непосредственное участие принимают высшие психические функции в части мышления, и развитое и недоразвитое чтение имеют ближайшие причины в развитии мышления ребенка... Понимание текста предполагает сохранение соответствующего пропорционального веса слов или изменение пропорций, пока они не дадут результата, удовлетворяющего цели чтения. Понимание рассказа подобно решению задачи в математике. Оно состоит в отборе правильных элементов ситуации и в соединении их в правильных соотношениях, а также в </w:t>
      </w:r>
      <w:proofErr w:type="spellStart"/>
      <w:r>
        <w:rPr>
          <w:color w:val="2A2723"/>
        </w:rPr>
        <w:t>придавани</w:t>
      </w:r>
      <w:proofErr w:type="spellEnd"/>
      <w:r>
        <w:rPr>
          <w:color w:val="2A2723"/>
          <w:lang w:val="kk-KZ"/>
        </w:rPr>
        <w:t>и</w:t>
      </w:r>
      <w:r>
        <w:rPr>
          <w:color w:val="2A2723"/>
        </w:rPr>
        <w:t xml:space="preserve"> каждому из них правильного веса, влияния или степени важности...</w:t>
      </w:r>
    </w:p>
    <w:p w:rsidR="00A5734C" w:rsidRDefault="00A5734C" w:rsidP="00A5734C">
      <w:pPr>
        <w:pStyle w:val="a5"/>
        <w:spacing w:before="0" w:beforeAutospacing="0" w:after="0" w:afterAutospacing="0" w:line="315" w:lineRule="atLeast"/>
        <w:ind w:firstLine="660"/>
        <w:jc w:val="both"/>
        <w:rPr>
          <w:color w:val="2A2723"/>
        </w:rPr>
      </w:pPr>
      <w:r>
        <w:rPr>
          <w:color w:val="2A2723"/>
        </w:rPr>
        <w:t>Процесс чтения, обучение чтению теснейшим, внутренним образом связаны с развитием внутренней речи...» (там же, С.209-211).</w:t>
      </w:r>
      <w:r>
        <w:rPr>
          <w:color w:val="2A2723"/>
          <w:lang w:val="kk-KZ"/>
        </w:rPr>
        <w:t xml:space="preserve">  </w:t>
      </w:r>
      <w:r>
        <w:rPr>
          <w:color w:val="2A2723"/>
        </w:rPr>
        <w:t>Попытаемся теперь, опираясь на эти положения Л. С. Выготского, сформулировать некоторые общие, принципиальные основы психолингвистической теории понимания текста.</w:t>
      </w:r>
    </w:p>
    <w:p w:rsidR="00A5734C" w:rsidRDefault="00A5734C" w:rsidP="00A5734C">
      <w:pPr>
        <w:pStyle w:val="a5"/>
        <w:spacing w:before="0" w:beforeAutospacing="0" w:after="0" w:afterAutospacing="0" w:line="315" w:lineRule="atLeast"/>
        <w:ind w:firstLine="660"/>
        <w:jc w:val="both"/>
        <w:rPr>
          <w:color w:val="2A2723"/>
        </w:rPr>
      </w:pPr>
      <w:r>
        <w:rPr>
          <w:color w:val="2A2723"/>
        </w:rPr>
        <w:t xml:space="preserve">Психолингвистическая теория понимания текста. Начнем с того, что все-таки такое понимание текста. Думается, что здесь очень близок к истине А. А. </w:t>
      </w:r>
      <w:proofErr w:type="spellStart"/>
      <w:r>
        <w:rPr>
          <w:color w:val="2A2723"/>
        </w:rPr>
        <w:t>Брудный</w:t>
      </w:r>
      <w:proofErr w:type="spellEnd"/>
      <w:r>
        <w:rPr>
          <w:color w:val="2A2723"/>
        </w:rPr>
        <w:t xml:space="preserve">, когда полагает, что понимание - это последовательное изменение структуры воссоздаваемой в сознании ситуации и процесс перемещения мысленного центра ситуации от одного </w:t>
      </w:r>
      <w:r>
        <w:rPr>
          <w:color w:val="2A2723"/>
        </w:rPr>
        <w:lastRenderedPageBreak/>
        <w:t>элемента к другому (</w:t>
      </w:r>
      <w:proofErr w:type="spellStart"/>
      <w:r>
        <w:rPr>
          <w:color w:val="2A2723"/>
        </w:rPr>
        <w:t>Брудный</w:t>
      </w:r>
      <w:proofErr w:type="spellEnd"/>
      <w:r>
        <w:rPr>
          <w:color w:val="2A2723"/>
        </w:rPr>
        <w:t xml:space="preserve">, 1975). В результате процесса понимания, по </w:t>
      </w:r>
      <w:proofErr w:type="spellStart"/>
      <w:r>
        <w:rPr>
          <w:color w:val="2A2723"/>
        </w:rPr>
        <w:t>Брудному</w:t>
      </w:r>
      <w:proofErr w:type="spellEnd"/>
      <w:r>
        <w:rPr>
          <w:color w:val="2A2723"/>
        </w:rPr>
        <w:t>, образуется некоторая картина его общего смысла - концепт текста (</w:t>
      </w:r>
      <w:proofErr w:type="spellStart"/>
      <w:r>
        <w:rPr>
          <w:color w:val="2A2723"/>
        </w:rPr>
        <w:t>Брудный</w:t>
      </w:r>
      <w:proofErr w:type="spellEnd"/>
      <w:r>
        <w:rPr>
          <w:color w:val="2A2723"/>
        </w:rPr>
        <w:t>, 1976).</w:t>
      </w:r>
    </w:p>
    <w:p w:rsidR="00A5734C" w:rsidRDefault="00A5734C" w:rsidP="00A5734C">
      <w:pPr>
        <w:pStyle w:val="a5"/>
        <w:spacing w:before="0" w:beforeAutospacing="0" w:after="0" w:afterAutospacing="0" w:line="315" w:lineRule="atLeast"/>
        <w:ind w:firstLine="660"/>
        <w:jc w:val="both"/>
        <w:rPr>
          <w:color w:val="2A2723"/>
        </w:rPr>
      </w:pPr>
      <w:r>
        <w:rPr>
          <w:color w:val="2A2723"/>
        </w:rPr>
        <w:t>Мы бы сформулировали эту мысль несколько иначе. Понимание текста - это процесс перевода смысла этого текста в любую другую форму его закрепления. Это может быть процесс парафразы, пересказа той же мысли другими словами. Это может быть процесс перевода на</w:t>
      </w:r>
      <w:r>
        <w:rPr>
          <w:rFonts w:ascii="Georgia" w:hAnsi="Georgia"/>
          <w:color w:val="2A2723"/>
        </w:rPr>
        <w:t xml:space="preserve"> другой язык. </w:t>
      </w:r>
      <w:r>
        <w:rPr>
          <w:color w:val="2A2723"/>
        </w:rPr>
        <w:t xml:space="preserve">Это может быть процесс смысловой компрессии, в результате которого может образовываться </w:t>
      </w:r>
      <w:proofErr w:type="spellStart"/>
      <w:r>
        <w:rPr>
          <w:color w:val="2A2723"/>
        </w:rPr>
        <w:t>минитекст</w:t>
      </w:r>
      <w:proofErr w:type="spellEnd"/>
      <w:r>
        <w:rPr>
          <w:color w:val="2A2723"/>
        </w:rPr>
        <w:t>, воплощающий в себе основное содержание исходного текста - реферат, аннотация, резюме, набор ключевых слов. Или процесс построения образа предмета или ситуации, наделенного определенным смыслом. Или процесс формирования личностно-смысловых образований, лишь опосредствованно связанных со смыслом исходного текста. Или процесс формирования эмоциональной оценки события. Или, наконец, процесс выработки алгоритма операций, предписываемых текстом. Вообще понятно то, что может быть иначе выражено.</w:t>
      </w:r>
    </w:p>
    <w:p w:rsidR="00A5734C" w:rsidRDefault="00A5734C" w:rsidP="00A5734C">
      <w:pPr>
        <w:pStyle w:val="a5"/>
        <w:spacing w:before="0" w:beforeAutospacing="0" w:after="0" w:afterAutospacing="0" w:line="315" w:lineRule="atLeast"/>
        <w:ind w:firstLine="300"/>
        <w:jc w:val="both"/>
        <w:rPr>
          <w:color w:val="2A2723"/>
        </w:rPr>
      </w:pPr>
      <w:r>
        <w:rPr>
          <w:color w:val="2A2723"/>
        </w:rPr>
        <w:t>В связи со сказанным целесообразно ввести понятие образа содержания текста, (см. о нем также Леонтьев, W9a, Леонтьев, 1989).</w:t>
      </w:r>
    </w:p>
    <w:p w:rsidR="00A5734C" w:rsidRDefault="00A5734C" w:rsidP="00A5734C">
      <w:pPr>
        <w:pStyle w:val="a5"/>
        <w:spacing w:before="0" w:beforeAutospacing="0" w:after="0" w:afterAutospacing="0" w:line="315" w:lineRule="atLeast"/>
        <w:ind w:firstLine="300"/>
        <w:jc w:val="both"/>
        <w:rPr>
          <w:color w:val="2A2723"/>
        </w:rPr>
      </w:pPr>
      <w:r>
        <w:rPr>
          <w:color w:val="2A2723"/>
        </w:rPr>
        <w:t xml:space="preserve">Образ содержания текста - это не некоторый итог или конечный результат понимания. Это сам процесс понимания, взятый с его содержательной стороны. Приведение текста к некоторому иному виду - лишь частный случай формирования образа содержания. Но и в этом случае новый текст есть не итог понимания, а лишь способ </w:t>
      </w:r>
      <w:r>
        <w:rPr>
          <w:color w:val="2A2723"/>
          <w:lang w:val="kk-KZ"/>
        </w:rPr>
        <w:t>выйти за пределы текста в мир за окном</w:t>
      </w:r>
      <w:r>
        <w:rPr>
          <w:color w:val="2A2723"/>
        </w:rPr>
        <w:t>.</w:t>
      </w:r>
    </w:p>
    <w:p w:rsidR="00A5734C" w:rsidRDefault="00A5734C" w:rsidP="00A5734C">
      <w:pPr>
        <w:jc w:val="both"/>
        <w:rPr>
          <w:rFonts w:ascii="Times New Roman" w:hAnsi="Times New Roman" w:cs="Times New Roman"/>
          <w:sz w:val="24"/>
          <w:szCs w:val="24"/>
        </w:rPr>
      </w:pPr>
    </w:p>
    <w:p w:rsidR="00A5734C" w:rsidRDefault="00A5734C" w:rsidP="00A5734C">
      <w:pPr>
        <w:pStyle w:val="a5"/>
        <w:spacing w:before="0" w:beforeAutospacing="0" w:after="0" w:afterAutospacing="0" w:line="315" w:lineRule="atLeast"/>
        <w:ind w:firstLine="660"/>
        <w:jc w:val="both"/>
        <w:rPr>
          <w:color w:val="2A2723"/>
          <w:lang w:val="kk-KZ"/>
        </w:rPr>
      </w:pPr>
      <w:r>
        <w:rPr>
          <w:color w:val="2A2723"/>
          <w:lang w:val="kk-KZ"/>
        </w:rPr>
        <w:t>Литература:</w:t>
      </w:r>
    </w:p>
    <w:p w:rsidR="00A5734C" w:rsidRDefault="00A5734C" w:rsidP="00A5734C">
      <w:pPr>
        <w:pStyle w:val="a3"/>
        <w:numPr>
          <w:ilvl w:val="0"/>
          <w:numId w:val="2"/>
        </w:numPr>
        <w:shd w:val="clear" w:color="auto" w:fill="FFFFFF"/>
        <w:spacing w:after="0" w:line="240" w:lineRule="auto"/>
        <w:outlineLvl w:val="1"/>
        <w:rPr>
          <w:rFonts w:ascii="Times New Roman" w:eastAsia="Times New Roman" w:hAnsi="Times New Roman" w:cs="Times New Roman"/>
          <w:color w:val="2A2723"/>
          <w:sz w:val="24"/>
          <w:szCs w:val="24"/>
          <w:lang w:eastAsia="ru-RU"/>
        </w:rPr>
      </w:pPr>
      <w:r>
        <w:rPr>
          <w:rFonts w:ascii="Times New Roman" w:eastAsia="Times New Roman" w:hAnsi="Times New Roman" w:cs="Times New Roman"/>
          <w:color w:val="2A2723"/>
          <w:sz w:val="24"/>
          <w:szCs w:val="24"/>
          <w:lang w:eastAsia="ru-RU"/>
        </w:rPr>
        <w:t>Леонтьев А.А. Основы психолингвистики</w:t>
      </w:r>
      <w:r>
        <w:rPr>
          <w:rFonts w:ascii="Times New Roman" w:eastAsia="Times New Roman" w:hAnsi="Times New Roman" w:cs="Times New Roman"/>
          <w:color w:val="2A2723"/>
          <w:sz w:val="24"/>
          <w:szCs w:val="24"/>
          <w:lang w:val="kk-KZ" w:eastAsia="ru-RU"/>
        </w:rPr>
        <w:t>.</w:t>
      </w:r>
      <w:r>
        <w:rPr>
          <w:rFonts w:ascii="Times New Roman" w:eastAsia="Times New Roman" w:hAnsi="Times New Roman" w:cs="Times New Roman"/>
          <w:color w:val="2A2723"/>
          <w:sz w:val="24"/>
          <w:szCs w:val="24"/>
          <w:lang w:eastAsia="ru-RU"/>
        </w:rPr>
        <w:t xml:space="preserve"> -- М.: Смысл, 1997. - 287 с.</w:t>
      </w:r>
    </w:p>
    <w:p w:rsidR="00A5734C" w:rsidRDefault="00A5734C" w:rsidP="00A5734C">
      <w:pPr>
        <w:pStyle w:val="a3"/>
        <w:numPr>
          <w:ilvl w:val="0"/>
          <w:numId w:val="2"/>
        </w:numPr>
        <w:shd w:val="clear" w:color="auto" w:fill="FFFFFF"/>
        <w:spacing w:after="0" w:line="240" w:lineRule="auto"/>
        <w:outlineLvl w:val="1"/>
        <w:rPr>
          <w:rFonts w:ascii="Times New Roman" w:eastAsia="Times New Roman" w:hAnsi="Times New Roman" w:cs="Times New Roman"/>
          <w:color w:val="2A2723"/>
          <w:sz w:val="24"/>
          <w:szCs w:val="24"/>
          <w:lang w:eastAsia="ru-RU"/>
        </w:rPr>
      </w:pPr>
      <w:r w:rsidRPr="00287F49">
        <w:rPr>
          <w:rFonts w:ascii="Times New Roman" w:eastAsia="Times New Roman" w:hAnsi="Times New Roman" w:cs="Times New Roman"/>
          <w:color w:val="2A2723"/>
          <w:sz w:val="24"/>
          <w:szCs w:val="24"/>
          <w:lang w:eastAsia="ru-RU"/>
        </w:rPr>
        <w:t>http://www.ijbts-journal.com/images/main_1366796758/68)%20VI18-1144_Full%20Paper-Tasanee%20Satthapong.pdf</w:t>
      </w:r>
    </w:p>
    <w:tbl>
      <w:tblPr>
        <w:tblW w:w="11325" w:type="dxa"/>
        <w:shd w:val="clear" w:color="auto" w:fill="FFFFFF"/>
        <w:tblLook w:val="04A0" w:firstRow="1" w:lastRow="0" w:firstColumn="1" w:lastColumn="0" w:noHBand="0" w:noVBand="1"/>
      </w:tblPr>
      <w:tblGrid>
        <w:gridCol w:w="11325"/>
      </w:tblGrid>
      <w:tr w:rsidR="00A5734C" w:rsidTr="00C003B5">
        <w:tc>
          <w:tcPr>
            <w:tcW w:w="0" w:type="auto"/>
            <w:shd w:val="clear" w:color="auto" w:fill="FFFFFF"/>
            <w:tcMar>
              <w:top w:w="150" w:type="dxa"/>
              <w:left w:w="225" w:type="dxa"/>
              <w:bottom w:w="150" w:type="dxa"/>
              <w:right w:w="225" w:type="dxa"/>
            </w:tcMar>
            <w:hideMark/>
          </w:tcPr>
          <w:p w:rsidR="00A5734C" w:rsidRDefault="00A5734C" w:rsidP="00C003B5">
            <w:pPr>
              <w:spacing w:after="0" w:line="240" w:lineRule="auto"/>
              <w:rPr>
                <w:rFonts w:ascii="Times New Roman" w:eastAsia="Times New Roman" w:hAnsi="Times New Roman" w:cs="Times New Roman"/>
                <w:color w:val="2A2723"/>
                <w:sz w:val="24"/>
                <w:szCs w:val="24"/>
                <w:lang w:val="kk-KZ" w:eastAsia="ru-RU"/>
              </w:rPr>
            </w:pPr>
            <w:r>
              <w:rPr>
                <w:rFonts w:ascii="Times New Roman" w:eastAsia="Times New Roman" w:hAnsi="Times New Roman" w:cs="Times New Roman"/>
                <w:color w:val="2A2723"/>
                <w:sz w:val="24"/>
                <w:szCs w:val="24"/>
                <w:lang w:val="kk-KZ" w:eastAsia="ru-RU"/>
              </w:rPr>
              <w:t xml:space="preserve"> </w:t>
            </w:r>
          </w:p>
        </w:tc>
      </w:tr>
    </w:tbl>
    <w:p w:rsidR="00A5734C" w:rsidRPr="006D0509" w:rsidRDefault="00A5734C" w:rsidP="00A5734C">
      <w:pPr>
        <w:rPr>
          <w:rFonts w:ascii="Times New Roman" w:hAnsi="Times New Roman" w:cs="Times New Roman"/>
          <w:lang w:val="kk-KZ"/>
        </w:rPr>
      </w:pPr>
      <w:r>
        <w:rPr>
          <w:rFonts w:ascii="Times New Roman" w:hAnsi="Times New Roman" w:cs="Times New Roman"/>
          <w:b/>
          <w:lang w:val="kk-KZ"/>
        </w:rPr>
        <w:t xml:space="preserve"> </w:t>
      </w:r>
    </w:p>
    <w:p w:rsidR="00A5734C" w:rsidRPr="004F230B" w:rsidRDefault="00A5734C" w:rsidP="00A5734C">
      <w:pPr>
        <w:rPr>
          <w:lang w:val="kk-KZ"/>
        </w:rPr>
      </w:pPr>
    </w:p>
    <w:p w:rsidR="00A5734C" w:rsidRPr="006927BC" w:rsidRDefault="00A5734C" w:rsidP="00A5734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C1E67">
        <w:rPr>
          <w:noProof/>
          <w:lang w:eastAsia="ru-RU"/>
        </w:rPr>
        <w:drawing>
          <wp:inline distT="0" distB="0" distL="0" distR="0" wp14:anchorId="600AC4BF" wp14:editId="182AB086">
            <wp:extent cx="2937840" cy="1960918"/>
            <wp:effectExtent l="0" t="0" r="0" b="1270"/>
            <wp:docPr id="18" name="Рисунок 1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0089" cy="1962419"/>
                    </a:xfrm>
                    <a:prstGeom prst="rect">
                      <a:avLst/>
                    </a:prstGeom>
                    <a:noFill/>
                    <a:ln>
                      <a:noFill/>
                    </a:ln>
                  </pic:spPr>
                </pic:pic>
              </a:graphicData>
            </a:graphic>
          </wp:inline>
        </w:drawing>
      </w:r>
    </w:p>
    <w:p w:rsidR="00A5734C" w:rsidRPr="006927BC" w:rsidRDefault="00A5734C" w:rsidP="00A5734C">
      <w:pPr>
        <w:spacing w:after="0"/>
        <w:jc w:val="both"/>
        <w:rPr>
          <w:rFonts w:ascii="Times New Roman" w:hAnsi="Times New Roman" w:cs="Times New Roman"/>
          <w:sz w:val="28"/>
          <w:szCs w:val="28"/>
          <w:lang w:val="kk-KZ"/>
        </w:rPr>
      </w:pPr>
    </w:p>
    <w:p w:rsidR="00A5734C" w:rsidRPr="006927B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A5734C" w:rsidRDefault="00A5734C" w:rsidP="00A5734C">
      <w:pPr>
        <w:spacing w:after="0"/>
        <w:jc w:val="both"/>
        <w:rPr>
          <w:rFonts w:ascii="Times New Roman" w:hAnsi="Times New Roman" w:cs="Times New Roman"/>
          <w:sz w:val="28"/>
          <w:szCs w:val="28"/>
          <w:lang w:val="kk-KZ"/>
        </w:rPr>
      </w:pPr>
    </w:p>
    <w:p w:rsidR="00F83F3B" w:rsidRPr="00A5734C" w:rsidRDefault="00F83F3B">
      <w:pPr>
        <w:rPr>
          <w:lang w:val="kk-KZ"/>
        </w:rPr>
      </w:pPr>
    </w:p>
    <w:sectPr w:rsidR="00F83F3B" w:rsidRPr="00A573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0F37"/>
    <w:multiLevelType w:val="hybridMultilevel"/>
    <w:tmpl w:val="0D08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525C8"/>
    <w:multiLevelType w:val="hybridMultilevel"/>
    <w:tmpl w:val="4300C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A05D35"/>
    <w:multiLevelType w:val="hybridMultilevel"/>
    <w:tmpl w:val="ACEAFDCC"/>
    <w:lvl w:ilvl="0" w:tplc="0419000F">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
    <w:nsid w:val="6D797CB9"/>
    <w:multiLevelType w:val="hybridMultilevel"/>
    <w:tmpl w:val="223835F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B78"/>
    <w:rsid w:val="004717AB"/>
    <w:rsid w:val="004A0B78"/>
    <w:rsid w:val="00A5734C"/>
    <w:rsid w:val="00F83F3B"/>
    <w:rsid w:val="00FF3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3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734C"/>
    <w:pPr>
      <w:ind w:left="720"/>
      <w:contextualSpacing/>
    </w:pPr>
  </w:style>
  <w:style w:type="table" w:styleId="a4">
    <w:name w:val="Table Grid"/>
    <w:basedOn w:val="a1"/>
    <w:uiPriority w:val="39"/>
    <w:rsid w:val="00A57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A573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3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734C"/>
    <w:pPr>
      <w:ind w:left="720"/>
      <w:contextualSpacing/>
    </w:pPr>
  </w:style>
  <w:style w:type="table" w:styleId="a4">
    <w:name w:val="Table Grid"/>
    <w:basedOn w:val="a1"/>
    <w:uiPriority w:val="39"/>
    <w:rsid w:val="00A57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A573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1626</Words>
  <Characters>9272</Characters>
  <Application>Microsoft Office Word</Application>
  <DocSecurity>0</DocSecurity>
  <Lines>77</Lines>
  <Paragraphs>21</Paragraphs>
  <ScaleCrop>false</ScaleCrop>
  <Company>SPecialiST RePack</Company>
  <LinksUpToDate>false</LinksUpToDate>
  <CharactersWithSpaces>10877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Zhanna</cp:lastModifiedBy>
  <cp:revision>4</cp:revision>
  <dcterms:created xsi:type="dcterms:W3CDTF">2025-04-05T10:52:00Z</dcterms:created>
  <dcterms:modified xsi:type="dcterms:W3CDTF">2025-04-07T05:17:00Z</dcterms:modified>
</cp:coreProperties>
</file>